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8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8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8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8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/>
          <w:sz w:val="48"/>
          <w:szCs w:val="24"/>
          <w:lang w:val="zh-CN"/>
        </w:rPr>
        <w:t>周恩来邓颖超纪念馆</w:t>
      </w: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  <w:r>
        <w:rPr>
          <w:rFonts w:hint="eastAsia" w:ascii="方正小标宋简体" w:hAnsi="方正小标宋简体" w:eastAsia="方正小标宋简体"/>
          <w:sz w:val="48"/>
          <w:szCs w:val="24"/>
          <w:lang w:val="zh-CN"/>
        </w:rPr>
        <w:t>2024年单位预算</w:t>
      </w: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both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en-US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en-US"/>
        </w:rPr>
      </w:pPr>
      <w:r>
        <w:rPr>
          <w:rFonts w:hint="eastAsia" w:ascii="黑体" w:hAnsi="黑体" w:eastAsia="黑体"/>
          <w:kern w:val="2"/>
          <w:sz w:val="44"/>
          <w:szCs w:val="24"/>
          <w:lang w:val="en-US"/>
        </w:rPr>
        <w:t>目   录</w:t>
      </w:r>
    </w:p>
    <w:p>
      <w:pPr>
        <w:keepNext/>
        <w:keepLines/>
        <w:spacing w:line="60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  <w:t>第一部分  概 况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一、主要职责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二、机构设置情况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  <w:t>第二部分  2024年单位预算情况说明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一、关于收支总体情况表的说明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二、关于收入总体情况表的说明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三、关于支出总体情况表的说明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四、关于财政拨款收支总体情况表的说明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五、关于一般公共预算支出情况的说明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六、关于一般公共预算基本支出情况表的说明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七、关于一般公共预算“三公”经费支出情况表的说明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八、关于政府性基金预算支出情况表的说明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九、关于国有资本经营预算支出情况表的说明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十、其他重要事项的情况说明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  <w:t>第三部分  名词解释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  <w:t>第四部分  2024年单位预算表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一、收支总体情况表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二、收入总体情况表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三、支出总体情况表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sectPr>
          <w:footerReference r:id="rId3" w:type="default"/>
          <w:pgSz w:w="12240" w:h="15840"/>
          <w:pgMar w:top="1440" w:right="1800" w:bottom="1440" w:left="1800" w:header="720" w:footer="720" w:gutter="0"/>
          <w:lnNumType w:countBy="0" w:distance="360"/>
          <w:pgNumType w:start="1"/>
          <w:cols w:space="720" w:num="1"/>
        </w:sectPr>
      </w:pP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四、财政拨款收支总体情况表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五、一般公共预算支出情况表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六、一般公共预算基本支出情况表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七、一般公共预算“三公”经费支出情况表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八、政府性基金预算支出情况表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九、国有资本经营预算支出情况表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十、项目支出表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十一、关于空表的说明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ab/>
      </w: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highlight w:val="white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highlight w:val="white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highlight w:val="white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en-US"/>
        </w:rPr>
        <w:sectPr>
          <w:footerReference r:id="rId4" w:type="default"/>
          <w:pgSz w:w="12240" w:h="15840"/>
          <w:pgMar w:top="1440" w:right="1800" w:bottom="1440" w:left="1800" w:header="720" w:footer="720" w:gutter="0"/>
          <w:lnNumType w:countBy="0" w:distance="360"/>
          <w:pgNumType w:start="1"/>
          <w:cols w:space="720" w:num="1"/>
        </w:sect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en-US"/>
        </w:rPr>
        <w:t>第一部分  概 况</w:t>
      </w:r>
    </w:p>
    <w:p>
      <w:pPr>
        <w:spacing w:line="580" w:lineRule="exact"/>
        <w:ind w:firstLine="480"/>
        <w:jc w:val="both"/>
        <w:rPr>
          <w:rFonts w:hint="default" w:ascii="Times New Roman" w:hAnsi="Times New Roman" w:eastAsia="Times New Roman"/>
          <w:kern w:val="2"/>
          <w:sz w:val="24"/>
          <w:szCs w:val="24"/>
          <w:lang w:val="zh-CN"/>
        </w:rPr>
      </w:pPr>
    </w:p>
    <w:p>
      <w:pPr>
        <w:pStyle w:val="3"/>
        <w:keepNext/>
        <w:keepLines/>
        <w:spacing w:before="260" w:after="260" w:line="600" w:lineRule="exact"/>
        <w:ind w:firstLine="602"/>
        <w:rPr>
          <w:rFonts w:hint="eastAsia" w:ascii="黑体" w:hAnsi="黑体" w:eastAsia="黑体"/>
          <w:b/>
          <w:sz w:val="30"/>
          <w:szCs w:val="24"/>
          <w:lang w:val="en-US"/>
        </w:rPr>
      </w:pPr>
      <w:r>
        <w:rPr>
          <w:rFonts w:hint="eastAsia" w:ascii="黑体" w:hAnsi="黑体" w:eastAsia="黑体"/>
          <w:b/>
          <w:sz w:val="30"/>
          <w:szCs w:val="24"/>
          <w:lang w:val="en-US"/>
        </w:rPr>
        <w:t>一、主要职责</w:t>
      </w:r>
    </w:p>
    <w:p>
      <w:pPr>
        <w:spacing w:line="600" w:lineRule="exact"/>
        <w:ind w:firstLine="600" w:firstLineChars="200"/>
        <w:rPr>
          <w:rFonts w:hint="eastAsia" w:ascii="Times New Roman" w:hAnsi="Times New Roman" w:eastAsia="仿宋_GB2312"/>
          <w:color w:val="000000"/>
          <w:sz w:val="30"/>
          <w:szCs w:val="24"/>
        </w:rPr>
      </w:pPr>
      <w:r>
        <w:rPr>
          <w:rFonts w:hint="eastAsia" w:ascii="Times New Roman" w:hAnsi="Times New Roman" w:eastAsia="仿宋_GB2312"/>
          <w:color w:val="000000"/>
          <w:sz w:val="30"/>
          <w:szCs w:val="24"/>
        </w:rPr>
        <w:t>周恩来邓颖超纪念馆是为缅怀两位伟人丰功伟绩，研究伟人生平思想，展现光辉一生的爱国主义教育基地，是集展览、收藏、研究、保管、教育为一体的革命伟人纪念馆。</w:t>
      </w:r>
    </w:p>
    <w:p>
      <w:pPr>
        <w:pStyle w:val="3"/>
        <w:keepNext/>
        <w:keepLines/>
        <w:spacing w:before="260" w:after="260" w:line="600" w:lineRule="exact"/>
        <w:ind w:firstLine="602"/>
        <w:rPr>
          <w:rFonts w:hint="eastAsia" w:ascii="黑体" w:hAnsi="黑体" w:eastAsia="黑体"/>
          <w:b/>
          <w:sz w:val="30"/>
          <w:szCs w:val="24"/>
          <w:lang w:val="en-US"/>
        </w:rPr>
      </w:pPr>
      <w:r>
        <w:rPr>
          <w:rFonts w:hint="eastAsia" w:ascii="黑体" w:hAnsi="黑体" w:eastAsia="黑体"/>
          <w:b/>
          <w:sz w:val="30"/>
          <w:szCs w:val="24"/>
          <w:lang w:val="en-US"/>
        </w:rPr>
        <w:t>二、机构设置情况</w:t>
      </w:r>
    </w:p>
    <w:p>
      <w:pPr>
        <w:spacing w:line="600" w:lineRule="exact"/>
        <w:ind w:firstLine="600" w:firstLineChars="200"/>
        <w:rPr>
          <w:rFonts w:hint="default" w:ascii="Times New Roman" w:hAnsi="Times New Roman" w:eastAsia="仿宋_GB2312"/>
          <w:sz w:val="30"/>
          <w:szCs w:val="24"/>
        </w:rPr>
      </w:pPr>
      <w:r>
        <w:rPr>
          <w:rFonts w:hint="eastAsia" w:ascii="Times New Roman" w:hAnsi="Times New Roman" w:eastAsia="仿宋_GB2312"/>
          <w:color w:val="000000"/>
          <w:sz w:val="30"/>
          <w:szCs w:val="24"/>
        </w:rPr>
        <w:t>周恩来邓颖超纪念馆</w:t>
      </w:r>
      <w:r>
        <w:rPr>
          <w:rFonts w:hint="eastAsia" w:ascii="Times New Roman" w:hAnsi="Times New Roman" w:eastAsia="仿宋_GB2312"/>
          <w:sz w:val="30"/>
          <w:szCs w:val="24"/>
        </w:rPr>
        <w:t>内设7个职能处室，分别为办公室、陈列保管部、财务后勤部、宣传教育部、信息资料部、保卫部、研究部。</w:t>
      </w:r>
    </w:p>
    <w:p>
      <w:pPr>
        <w:spacing w:line="600" w:lineRule="exact"/>
        <w:ind w:firstLine="600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</w:p>
    <w:p>
      <w:pPr>
        <w:spacing w:line="600" w:lineRule="exact"/>
        <w:ind w:firstLine="600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360" w:lineRule="atLeast"/>
        <w:jc w:val="both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360" w:lineRule="atLeas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b/>
          <w:kern w:val="2"/>
          <w:sz w:val="44"/>
          <w:szCs w:val="24"/>
          <w:lang w:val="en-US"/>
        </w:rPr>
      </w:pPr>
      <w:r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zh-CN"/>
        </w:rPr>
        <w:t xml:space="preserve">第二部分 </w:t>
      </w:r>
      <w:r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en-US"/>
        </w:rPr>
        <w:t xml:space="preserve"> 2024年单位预算情况说明</w:t>
      </w: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一、关于收支总体情况表的说明</w:t>
      </w:r>
    </w:p>
    <w:p>
      <w:pPr>
        <w:spacing w:line="580" w:lineRule="exact"/>
        <w:ind w:firstLine="600"/>
        <w:jc w:val="both"/>
        <w:rPr>
          <w:rFonts w:hint="eastAsia" w:ascii="仿宋" w:hAnsi="仿宋" w:eastAsia="仿宋"/>
          <w:kern w:val="2"/>
          <w:sz w:val="30"/>
          <w:szCs w:val="24"/>
          <w:lang w:val="zh-CN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按照综合预算的原则，周恩来邓颖超纪念馆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所有收入和支出均纳入单位预算管理。收入包括：一般公共预算拨款收入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2,436.1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、政府性基金预算拨款收入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、国有资本经营预算拨款收入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、财政专户管理资金收入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、事业收入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468.9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、事业单位经营收入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、上级补助收入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、附属单位上缴收入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、其他收入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76.1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、上年结转结余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672.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；支出包括：教育支出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、文化旅游体育与传媒支出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2,690.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、社会保障和就业支出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117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、卫生健康支出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67.5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、债务付息支出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259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万元，年终结转结余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519.8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。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周恩来邓颖超纪念馆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  <w:t>2024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年收支总预算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3,653.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二、关于收入总体情况表的说明</w:t>
      </w:r>
    </w:p>
    <w:p>
      <w:pPr>
        <w:spacing w:line="600" w:lineRule="exact"/>
        <w:ind w:firstLine="600"/>
        <w:jc w:val="both"/>
        <w:rPr>
          <w:rFonts w:hint="default" w:ascii="MS Serif" w:hAnsi="MS Serif" w:eastAsia="MS Serif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周恩来邓颖超纪念馆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  <w:t>2024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年单位预算收入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3,653.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 w:eastAsia="zh-CN"/>
        </w:rPr>
        <w:t>6</w:t>
      </w:r>
      <w:r>
        <w:rPr>
          <w:rFonts w:hint="eastAsia" w:ascii="仿宋" w:hAnsi="仿宋" w:eastAsia="仿宋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</w:t>
      </w:r>
      <w:r>
        <w:rPr>
          <w:rFonts w:hint="eastAsia" w:ascii="仿宋_GB2312" w:hAnsi="仿宋_GB2312" w:eastAsia="仿宋_GB2312"/>
          <w:sz w:val="30"/>
          <w:szCs w:val="24"/>
          <w:highlight w:val="white"/>
          <w:lang w:val="en-US"/>
        </w:rPr>
        <w:t>与</w:t>
      </w:r>
      <w:r>
        <w:rPr>
          <w:rFonts w:hint="default" w:ascii="Times New Roman" w:hAnsi="Times New Roman" w:eastAsia="仿宋_GB2312"/>
          <w:kern w:val="2"/>
          <w:sz w:val="30"/>
          <w:szCs w:val="24"/>
          <w:highlight w:val="white"/>
          <w:lang w:val="en-US"/>
        </w:rPr>
        <w:t>2023</w:t>
      </w:r>
      <w:r>
        <w:rPr>
          <w:rFonts w:hint="eastAsia" w:ascii="仿宋_GB2312" w:hAnsi="仿宋_GB2312" w:eastAsia="仿宋_GB2312"/>
          <w:kern w:val="2"/>
          <w:sz w:val="30"/>
          <w:szCs w:val="24"/>
          <w:highlight w:val="white"/>
          <w:lang w:val="en-US"/>
        </w:rPr>
        <w:t>年</w:t>
      </w:r>
      <w:r>
        <w:rPr>
          <w:rFonts w:hint="eastAsia" w:ascii="仿宋_GB2312" w:hAnsi="仿宋_GB2312" w:eastAsia="仿宋_GB2312"/>
          <w:sz w:val="30"/>
          <w:szCs w:val="24"/>
          <w:highlight w:val="white"/>
          <w:lang w:val="en-US"/>
        </w:rPr>
        <w:t>预算相比</w:t>
      </w:r>
      <w:r>
        <w:rPr>
          <w:rFonts w:hint="eastAsia" w:ascii="仿宋" w:hAnsi="仿宋" w:eastAsia="仿宋"/>
          <w:kern w:val="2"/>
          <w:sz w:val="30"/>
          <w:szCs w:val="24"/>
          <w:highlight w:val="white"/>
          <w:lang w:val="en-US"/>
        </w:rPr>
        <w:t>增加</w:t>
      </w:r>
      <w:r>
        <w:rPr>
          <w:rFonts w:hint="default" w:ascii="Times New Roman" w:hAnsi="Times New Roman" w:eastAsia="仿宋"/>
          <w:kern w:val="2"/>
          <w:sz w:val="30"/>
          <w:szCs w:val="24"/>
          <w:highlight w:val="white"/>
          <w:lang w:val="en-US"/>
        </w:rPr>
        <w:t>382.</w:t>
      </w:r>
      <w:r>
        <w:rPr>
          <w:rFonts w:hint="default" w:ascii="Times New Roman" w:hAnsi="Times New Roman" w:eastAsia="仿宋"/>
          <w:kern w:val="2"/>
          <w:sz w:val="30"/>
          <w:szCs w:val="24"/>
          <w:highlight w:val="white"/>
          <w:lang w:val="en-US" w:eastAsia="zh-CN"/>
        </w:rPr>
        <w:t>8</w:t>
      </w:r>
      <w:r>
        <w:rPr>
          <w:rFonts w:hint="eastAsia" w:ascii="仿宋" w:hAnsi="仿宋" w:eastAsia="仿宋"/>
          <w:kern w:val="2"/>
          <w:sz w:val="30"/>
          <w:szCs w:val="24"/>
          <w:highlight w:val="white"/>
          <w:lang w:val="en-US"/>
        </w:rPr>
        <w:t>万</w:t>
      </w:r>
      <w:r>
        <w:rPr>
          <w:rFonts w:hint="eastAsia" w:ascii="仿宋_GB2312" w:hAnsi="仿宋_GB2312" w:eastAsia="仿宋_GB2312"/>
          <w:sz w:val="30"/>
          <w:szCs w:val="24"/>
          <w:highlight w:val="white"/>
          <w:lang w:val="en-US"/>
        </w:rPr>
        <w:t>元，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主要原因是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疫情放开以来，参观人数增多，事业收入相应增加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。其中：上年结转结余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672.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 w:eastAsia="zh-CN"/>
        </w:rPr>
        <w:t>5</w:t>
      </w:r>
      <w:r>
        <w:rPr>
          <w:rFonts w:hint="eastAsia" w:ascii="仿宋" w:hAnsi="仿宋" w:eastAsia="仿宋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18.4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；一般公共预算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2,436.1</w:t>
      </w:r>
      <w:r>
        <w:rPr>
          <w:rFonts w:hint="eastAsia" w:ascii="仿宋" w:hAnsi="仿宋" w:eastAsia="仿宋"/>
          <w:kern w:val="2"/>
          <w:sz w:val="30"/>
          <w:szCs w:val="24"/>
          <w:lang w:val="zh-CN"/>
        </w:rPr>
        <w:t>万元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66.7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；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政府性基金预算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0</w:t>
      </w:r>
      <w:r>
        <w:rPr>
          <w:rFonts w:hint="eastAsia" w:ascii="仿宋" w:hAnsi="仿宋" w:eastAsia="仿宋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；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国有资本经营预算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0</w:t>
      </w:r>
      <w:r>
        <w:rPr>
          <w:rFonts w:hint="eastAsia" w:ascii="仿宋" w:hAnsi="仿宋" w:eastAsia="仿宋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；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财政专户管理资金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；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事业收入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468.9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12.8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；事业单位经营收入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_GB2312"/>
          <w:sz w:val="30"/>
          <w:szCs w:val="24"/>
          <w:lang w:val="en-US"/>
        </w:rPr>
        <w:t>0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；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上级补助收入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；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附属单位上缴收入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；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其他收入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76.1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sz w:val="30"/>
          <w:szCs w:val="24"/>
          <w:lang w:val="en-US"/>
        </w:rPr>
        <w:t>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2.1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三、关于支出总体情况表的说明</w:t>
      </w:r>
    </w:p>
    <w:p>
      <w:pPr>
        <w:spacing w:line="600" w:lineRule="exact"/>
        <w:ind w:firstLine="600"/>
        <w:jc w:val="both"/>
        <w:rPr>
          <w:rFonts w:hint="default" w:ascii="MS Serif" w:hAnsi="MS Serif" w:eastAsia="MS Serif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周恩来邓颖超纪念馆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  <w:t>2024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年支出预算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3,133.8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，与</w:t>
      </w:r>
      <w:r>
        <w:rPr>
          <w:rFonts w:hint="default" w:ascii="Times New Roman" w:hAnsi="Times New Roman" w:eastAsia="仿宋_GB2312"/>
          <w:kern w:val="2"/>
          <w:sz w:val="30"/>
          <w:szCs w:val="24"/>
          <w:highlight w:val="white"/>
          <w:lang w:val="en-US"/>
        </w:rPr>
        <w:t>2023</w:t>
      </w:r>
      <w:r>
        <w:rPr>
          <w:rFonts w:hint="eastAsia" w:ascii="仿宋_GB2312" w:hAnsi="仿宋_GB2312" w:eastAsia="仿宋_GB2312"/>
          <w:kern w:val="2"/>
          <w:sz w:val="30"/>
          <w:szCs w:val="24"/>
          <w:highlight w:val="white"/>
          <w:lang w:val="en-US"/>
        </w:rPr>
        <w:t>年预算相比</w:t>
      </w:r>
      <w:r>
        <w:rPr>
          <w:rFonts w:hint="eastAsia" w:ascii="仿宋" w:hAnsi="仿宋" w:eastAsia="仿宋"/>
          <w:kern w:val="2"/>
          <w:sz w:val="30"/>
          <w:szCs w:val="24"/>
          <w:highlight w:val="white"/>
          <w:lang w:val="en-US"/>
        </w:rPr>
        <w:t>增加</w:t>
      </w:r>
      <w:r>
        <w:rPr>
          <w:rFonts w:hint="default" w:ascii="Times New Roman" w:hAnsi="Times New Roman" w:eastAsia="仿宋"/>
          <w:kern w:val="2"/>
          <w:sz w:val="30"/>
          <w:szCs w:val="24"/>
          <w:highlight w:val="white"/>
          <w:lang w:val="en-US"/>
        </w:rPr>
        <w:t>45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5</w:t>
      </w:r>
      <w:r>
        <w:rPr>
          <w:rFonts w:hint="eastAsia" w:ascii="仿宋_GB2312" w:hAnsi="仿宋_GB2312" w:eastAsia="仿宋_GB2312"/>
          <w:kern w:val="2"/>
          <w:sz w:val="30"/>
          <w:szCs w:val="24"/>
          <w:highlight w:val="white"/>
          <w:lang w:val="en-US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，主要原因是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疫情放开以来，</w:t>
      </w:r>
      <w:r>
        <w:rPr>
          <w:rFonts w:hint="eastAsia" w:ascii="仿宋_GB2312" w:hAnsi="仿宋_GB2312" w:eastAsia="仿宋_GB2312"/>
          <w:sz w:val="30"/>
          <w:szCs w:val="24"/>
          <w:lang w:val="en-US" w:eastAsia="zh-CN"/>
        </w:rPr>
        <w:t>参观人数增多，物业费及日常维护维修等费用相应增加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。其中：基本支出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1,943.3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万元，占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62.0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；项目支出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1,190.5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万元，占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38.0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；事业单位经营支出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万元，占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；上缴上级支出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万元，占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；对附属单位补助支出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万元，占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0.0</w:t>
      </w:r>
      <w:r>
        <w:rPr>
          <w:rFonts w:hint="default" w:ascii="Times New Roman" w:hAnsi="Times New Roman" w:eastAsia="Calibri"/>
          <w:sz w:val="30"/>
          <w:szCs w:val="24"/>
          <w:lang w:val="zh-CN"/>
        </w:rPr>
        <w:t>%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四、关于财政拨款收支总体情况表的说明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周恩来邓颖超纪念馆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  <w:t>2024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年财政拨款收入预算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2,505.3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，</w:t>
      </w:r>
      <w:r>
        <w:rPr>
          <w:rFonts w:hint="eastAsia" w:ascii="仿宋_GB2312" w:hAnsi="仿宋_GB2312" w:eastAsia="仿宋_GB2312"/>
          <w:kern w:val="2"/>
          <w:sz w:val="30"/>
          <w:szCs w:val="24"/>
          <w:highlight w:val="white"/>
          <w:lang w:val="en-US"/>
        </w:rPr>
        <w:t>与</w:t>
      </w:r>
      <w:r>
        <w:rPr>
          <w:rFonts w:hint="default" w:ascii="Times New Roman" w:hAnsi="Times New Roman" w:eastAsia="仿宋_GB2312"/>
          <w:kern w:val="2"/>
          <w:sz w:val="30"/>
          <w:szCs w:val="24"/>
          <w:highlight w:val="white"/>
          <w:lang w:val="en-US"/>
        </w:rPr>
        <w:t>2023</w:t>
      </w:r>
      <w:r>
        <w:rPr>
          <w:rFonts w:hint="eastAsia" w:ascii="仿宋_GB2312" w:hAnsi="仿宋_GB2312" w:eastAsia="仿宋_GB2312"/>
          <w:kern w:val="2"/>
          <w:sz w:val="30"/>
          <w:szCs w:val="24"/>
          <w:highlight w:val="white"/>
          <w:lang w:val="en-US"/>
        </w:rPr>
        <w:t>年预算相比</w:t>
      </w:r>
      <w:r>
        <w:rPr>
          <w:rFonts w:hint="eastAsia" w:ascii="仿宋" w:hAnsi="仿宋" w:eastAsia="仿宋"/>
          <w:kern w:val="2"/>
          <w:sz w:val="30"/>
          <w:szCs w:val="24"/>
          <w:highlight w:val="white"/>
          <w:lang w:val="en-US"/>
        </w:rPr>
        <w:t>增加</w:t>
      </w:r>
      <w:r>
        <w:rPr>
          <w:rFonts w:hint="default" w:ascii="Times New Roman" w:hAnsi="Times New Roman" w:eastAsia="仿宋"/>
          <w:kern w:val="2"/>
          <w:sz w:val="30"/>
          <w:szCs w:val="24"/>
          <w:highlight w:val="white"/>
          <w:lang w:val="en-US"/>
        </w:rPr>
        <w:t>6.</w:t>
      </w:r>
      <w:r>
        <w:rPr>
          <w:rFonts w:hint="default" w:ascii="Times New Roman" w:hAnsi="Times New Roman" w:eastAsia="仿宋"/>
          <w:kern w:val="2"/>
          <w:sz w:val="30"/>
          <w:szCs w:val="24"/>
          <w:highlight w:val="white"/>
          <w:lang w:val="en-US" w:eastAsia="zh-CN"/>
        </w:rPr>
        <w:t>5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万元，主要原因是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本年新增项目资金用于不染亭维修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。收入包括：一般公共预算拨款收入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2,436.1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、政府性基金预算拨款收入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、国有资本经营预算拨款收入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、上年财政结转结余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69.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。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  <w:t>2024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年财政拨款支出预算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2,505.3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，与</w:t>
      </w:r>
      <w:bookmarkStart w:id="0" w:name="_GoBack"/>
      <w:r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  <w:t>2023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年</w:t>
      </w:r>
      <w:bookmarkEnd w:id="0"/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预算相比</w:t>
      </w:r>
      <w:r>
        <w:rPr>
          <w:rFonts w:hint="eastAsia" w:ascii="仿宋" w:hAnsi="仿宋" w:eastAsia="仿宋"/>
          <w:kern w:val="2"/>
          <w:sz w:val="30"/>
          <w:szCs w:val="24"/>
          <w:lang w:val="en-US"/>
        </w:rPr>
        <w:t>增加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6.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万元，主要原因是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本年新增项目资金用于不染亭维修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。支出包括：教育支出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0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、文化旅游体育与传媒支出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2,061.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8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、社会保障和就业支出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117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、卫生健康支出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67.5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、债务付息支出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259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五、关于一般公共预算支出情况表的说明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楷体" w:hAnsi="楷体" w:eastAsia="楷体"/>
          <w:b/>
          <w:kern w:val="2"/>
          <w:sz w:val="30"/>
          <w:szCs w:val="24"/>
          <w:lang w:val="en-US"/>
        </w:rPr>
      </w:pPr>
      <w:r>
        <w:rPr>
          <w:rFonts w:hint="eastAsia" w:ascii="楷体" w:hAnsi="楷体" w:eastAsia="楷体"/>
          <w:b/>
          <w:kern w:val="2"/>
          <w:sz w:val="30"/>
          <w:szCs w:val="24"/>
          <w:lang w:val="en-US"/>
        </w:rPr>
        <w:t>（一）总体情况。</w:t>
      </w:r>
    </w:p>
    <w:p>
      <w:pPr>
        <w:spacing w:line="600" w:lineRule="exact"/>
        <w:ind w:firstLine="600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周恩来邓颖超纪念馆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  <w:t>2024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年一般公共预算支出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2,505.3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，与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  <w:t>2023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年预算相比增加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6.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万元，主要原因是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本年新增项目资金用于不染亭维修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。</w:t>
      </w:r>
    </w:p>
    <w:p>
      <w:pPr>
        <w:spacing w:line="600" w:lineRule="exact"/>
        <w:ind w:firstLine="600"/>
        <w:jc w:val="both"/>
        <w:rPr>
          <w:rFonts w:hint="eastAsia" w:ascii="楷体" w:hAnsi="楷体" w:eastAsia="楷体"/>
          <w:b/>
          <w:kern w:val="2"/>
          <w:sz w:val="30"/>
          <w:szCs w:val="24"/>
          <w:lang w:val="en-US"/>
        </w:rPr>
      </w:pPr>
      <w:r>
        <w:rPr>
          <w:rFonts w:hint="eastAsia" w:ascii="楷体" w:hAnsi="楷体" w:eastAsia="楷体"/>
          <w:b/>
          <w:kern w:val="2"/>
          <w:sz w:val="30"/>
          <w:szCs w:val="24"/>
          <w:lang w:val="en-US"/>
        </w:rPr>
        <w:t>（二）具体情况。</w:t>
      </w:r>
    </w:p>
    <w:p>
      <w:pPr>
        <w:spacing w:line="580" w:lineRule="exact"/>
        <w:ind w:firstLine="600"/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</w:pPr>
      <w:r>
        <w:rPr>
          <w:rFonts w:hint="eastAsia" w:ascii="仿宋" w:hAnsi="仿宋" w:eastAsia="仿宋"/>
          <w:sz w:val="30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24"/>
          <w:lang w:val="zh-CN"/>
        </w:rPr>
        <w:t>、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“文化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旅游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体育与传媒支出”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2,061.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 w:eastAsia="zh-CN"/>
        </w:rPr>
        <w:t>8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万元，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与</w:t>
      </w:r>
      <w:r>
        <w:rPr>
          <w:rFonts w:hint="default" w:ascii="Times New Roman" w:hAnsi="Times New Roman" w:eastAsia="仿宋"/>
          <w:sz w:val="30"/>
          <w:szCs w:val="24"/>
          <w:lang w:val="en-US"/>
        </w:rPr>
        <w:t>2023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年预算相比增加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/>
        </w:rPr>
        <w:t>17.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，主要原因是本年新增项目资金用于不染亭维修，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其中：</w:t>
      </w:r>
    </w:p>
    <w:p>
      <w:pPr>
        <w:spacing w:line="580" w:lineRule="exact"/>
        <w:ind w:firstLine="600"/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“文物”</w:t>
      </w:r>
      <w:r>
        <w:rPr>
          <w:rFonts w:hint="default" w:ascii="Times New Roman" w:hAnsi="Times New Roman" w:eastAsia="仿宋"/>
          <w:kern w:val="2"/>
          <w:sz w:val="30"/>
          <w:szCs w:val="24"/>
          <w:lang w:val="zh-CN"/>
        </w:rPr>
        <w:t>2,061.</w:t>
      </w:r>
      <w:r>
        <w:rPr>
          <w:rFonts w:hint="default" w:ascii="Times New Roman" w:hAnsi="Times New Roman" w:eastAsia="仿宋"/>
          <w:kern w:val="2"/>
          <w:sz w:val="30"/>
          <w:szCs w:val="24"/>
          <w:lang w:val="en-US" w:eastAsia="zh-CN"/>
        </w:rPr>
        <w:t>8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万元，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包括: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“博物馆”</w:t>
      </w:r>
      <w:r>
        <w:rPr>
          <w:rFonts w:hint="default" w:ascii="Times New Roman" w:hAnsi="Times New Roman" w:eastAsia="仿宋"/>
          <w:sz w:val="30"/>
          <w:szCs w:val="24"/>
          <w:lang w:val="en-US"/>
        </w:rPr>
        <w:t>2,061.</w:t>
      </w:r>
      <w:r>
        <w:rPr>
          <w:rFonts w:hint="default" w:ascii="Times New Roman" w:hAnsi="Times New Roman" w:eastAsia="仿宋"/>
          <w:sz w:val="30"/>
          <w:szCs w:val="24"/>
          <w:lang w:val="en-US" w:eastAsia="zh-CN"/>
        </w:rPr>
        <w:t>8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万元，主要用于：本单位人员、公用等基本支出及纪念馆运行经费、社会化用工经费、博物馆纪念馆免费开放经费、中央对地方博物馆纪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念馆免费开放补助资金、基本陈列改陈及配套提升工程一般债利息等项目支出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；</w:t>
      </w:r>
    </w:p>
    <w:p>
      <w:pPr>
        <w:spacing w:line="580" w:lineRule="exact"/>
        <w:ind w:firstLine="600"/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</w:pPr>
      <w:r>
        <w:rPr>
          <w:rFonts w:hint="eastAsia" w:ascii="仿宋" w:hAnsi="仿宋" w:eastAsia="仿宋"/>
          <w:sz w:val="30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24"/>
          <w:lang w:val="zh-CN"/>
        </w:rPr>
        <w:t>、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“社会保障和就业支出”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 w:eastAsia="zh-CN"/>
        </w:rPr>
        <w:t>117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万元，与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2023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年预算相比减少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10.8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元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，主要原因是人员信息有变化，造成社会保障支出减少，其中：</w:t>
      </w:r>
    </w:p>
    <w:p>
      <w:pPr>
        <w:spacing w:line="580" w:lineRule="exact"/>
        <w:ind w:firstLine="600"/>
        <w:rPr>
          <w:rFonts w:hint="eastAsia" w:ascii="仿宋" w:hAnsi="仿宋" w:eastAsia="仿宋"/>
          <w:sz w:val="30"/>
          <w:szCs w:val="24"/>
          <w:lang w:val="zh-CN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“行政事业单位养老支出”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 w:eastAsia="zh-CN"/>
        </w:rPr>
        <w:t>117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万元，</w:t>
      </w:r>
      <w:r>
        <w:rPr>
          <w:rFonts w:hint="eastAsia" w:ascii="仿宋_GB2312" w:hAnsi="仿宋_GB2312" w:eastAsia="仿宋_GB2312"/>
          <w:kern w:val="2"/>
          <w:sz w:val="30"/>
          <w:szCs w:val="24"/>
          <w:lang w:val="zh-CN" w:eastAsia="zh-CN"/>
        </w:rPr>
        <w:t>包括: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“机关事业单位基本养老保险缴费支出”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78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万元，主要用于：缴纳职工基本养老保险；“机关事业单位职业年金缴费支出”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en-US" w:eastAsia="zh-CN"/>
        </w:rPr>
        <w:t>39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 w:eastAsia="zh-CN"/>
        </w:rPr>
        <w:t>万元，主要用于：缴纳职工</w:t>
      </w:r>
      <w:r>
        <w:rPr>
          <w:rFonts w:hint="eastAsia" w:ascii="Times New Roman" w:hAnsi="Times New Roman" w:eastAsia="仿宋_GB2312"/>
          <w:sz w:val="30"/>
          <w:szCs w:val="24"/>
        </w:rPr>
        <w:t>职业年金保险</w:t>
      </w:r>
      <w:r>
        <w:rPr>
          <w:rFonts w:hint="eastAsia" w:ascii="仿宋" w:hAnsi="仿宋" w:eastAsia="仿宋"/>
          <w:sz w:val="30"/>
          <w:szCs w:val="24"/>
          <w:lang w:val="en-US"/>
        </w:rPr>
        <w:t>；</w:t>
      </w:r>
    </w:p>
    <w:p>
      <w:pPr>
        <w:spacing w:line="580" w:lineRule="exact"/>
        <w:ind w:firstLine="600"/>
        <w:rPr>
          <w:rFonts w:hint="eastAsia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仿宋" w:hAnsi="仿宋" w:eastAsia="仿宋"/>
          <w:sz w:val="30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24"/>
          <w:lang w:val="zh-CN"/>
        </w:rPr>
        <w:t>、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“卫生健康支出”67.5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万元，与2023年预算相比减少6.5万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，主要原因是</w:t>
      </w:r>
      <w:r>
        <w:rPr>
          <w:rFonts w:hint="eastAsia" w:ascii="Times New Roman" w:hAnsi="Times New Roman" w:eastAsia="仿宋_GB2312"/>
          <w:sz w:val="30"/>
          <w:szCs w:val="24"/>
        </w:rPr>
        <w:t>人员信息有变化，造成社会保障支出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减少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，其中：</w:t>
      </w:r>
    </w:p>
    <w:p>
      <w:pPr>
        <w:spacing w:line="580" w:lineRule="exact"/>
        <w:ind w:firstLine="600"/>
        <w:rPr>
          <w:rFonts w:hint="eastAsia" w:ascii="Times New Roman" w:hAnsi="Times New Roman" w:eastAsia="仿宋_GB231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sz w:val="30"/>
          <w:szCs w:val="24"/>
          <w:lang w:val="zh-CN"/>
        </w:rPr>
        <w:t>“行政事业单位医疗”67.5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万元，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包括: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“事业单位医疗”52.7万元，主要用于：</w:t>
      </w:r>
      <w:r>
        <w:rPr>
          <w:rFonts w:hint="eastAsia" w:ascii="Times New Roman" w:hAnsi="Times New Roman" w:eastAsia="仿宋_GB2312"/>
          <w:sz w:val="30"/>
          <w:szCs w:val="24"/>
        </w:rPr>
        <w:t>缴纳职工基本医疗保险及离休人员医疗费支出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；“其他行政事业单位医疗支出”14.8万元，主要用于：</w:t>
      </w:r>
      <w:r>
        <w:rPr>
          <w:rFonts w:hint="eastAsia" w:ascii="Times New Roman" w:hAnsi="Times New Roman" w:eastAsia="仿宋_GB2312"/>
          <w:sz w:val="30"/>
          <w:szCs w:val="24"/>
        </w:rPr>
        <w:t>在职及退休人员医疗费支出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；</w:t>
      </w:r>
    </w:p>
    <w:p>
      <w:pPr>
        <w:spacing w:line="580" w:lineRule="exact"/>
        <w:ind w:firstLine="600"/>
        <w:rPr>
          <w:rFonts w:hint="eastAsia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仿宋" w:hAnsi="仿宋" w:eastAsia="仿宋"/>
          <w:sz w:val="30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24"/>
          <w:lang w:val="en-US"/>
        </w:rPr>
        <w:t>、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“债务付息支出”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259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万元，与2023年预算相比增加6.3万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，主要原因是</w:t>
      </w:r>
      <w:r>
        <w:rPr>
          <w:rFonts w:hint="default" w:eastAsia="仿宋_GB2312"/>
          <w:sz w:val="30"/>
          <w:szCs w:val="24"/>
        </w:rPr>
        <w:t>2024</w:t>
      </w:r>
      <w:r>
        <w:rPr>
          <w:rFonts w:hint="eastAsia" w:ascii="仿宋_GB2312" w:hAnsi="仿宋_GB2312" w:eastAsia="仿宋_GB2312"/>
          <w:sz w:val="30"/>
          <w:szCs w:val="24"/>
        </w:rPr>
        <w:t>年偿还债务利息比</w:t>
      </w:r>
      <w:r>
        <w:rPr>
          <w:rFonts w:hint="default" w:eastAsia="仿宋_GB2312"/>
          <w:sz w:val="30"/>
          <w:szCs w:val="24"/>
        </w:rPr>
        <w:t>2023</w:t>
      </w:r>
      <w:r>
        <w:rPr>
          <w:rFonts w:hint="eastAsia" w:ascii="仿宋_GB2312" w:hAnsi="仿宋_GB2312" w:eastAsia="仿宋_GB2312"/>
          <w:sz w:val="30"/>
          <w:szCs w:val="24"/>
        </w:rPr>
        <w:t>年有所增加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，其中：</w:t>
      </w:r>
    </w:p>
    <w:p>
      <w:pPr>
        <w:spacing w:line="580" w:lineRule="exact"/>
        <w:ind w:firstLine="600"/>
        <w:rPr>
          <w:rFonts w:hint="eastAsia" w:ascii="Times New Roman" w:hAnsi="Times New Roman" w:eastAsia="仿宋_GB2312"/>
          <w:sz w:val="30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“地方政府一般债务付息支出”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259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万元，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包括: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“地方政府一般债券付息支出”259万元，主要用于：支付工程债劵利息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六、关于一般公共预算基本支出情况表的说明</w:t>
      </w:r>
    </w:p>
    <w:p>
      <w:pPr>
        <w:spacing w:line="600" w:lineRule="exact"/>
        <w:ind w:firstLine="600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zh-CN"/>
        </w:rPr>
        <w:t>周恩来邓颖超纪念馆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一般公共预算基本支出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1,314.8万元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，与2023年预算相比减少99万元，主要原因是人员信息有变化，造成人员工资及社会保障支出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减少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。其中：</w:t>
      </w:r>
    </w:p>
    <w:p>
      <w:pPr>
        <w:spacing w:line="60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sz w:val="30"/>
          <w:szCs w:val="24"/>
          <w:lang w:val="zh-CN"/>
        </w:rPr>
        <w:t>人员经费1,185.7万元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，主要包括：</w:t>
      </w:r>
    </w:p>
    <w:p>
      <w:pPr>
        <w:spacing w:line="60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sz w:val="30"/>
          <w:szCs w:val="24"/>
          <w:lang w:val="zh-CN"/>
        </w:rPr>
        <w:t>“基本工资”231.8万元、“津贴补贴”109.5万元、“绩效工资”262.7万元、“机关事业单位基本养老保险缴费”78万元、“职业年金缴费”39万元、“职工基本医疗保险缴费”48.7万元、“其他社会保障缴费”13.7万元、“住房公积金”273.8万元、“医疗费”6.1万元、“其他工资福利支出”49.6万元、“离休费”44.5万元、“退休费”15.5万元、“医疗费补助”12.7万元、“奖励金”0.1万元。</w:t>
      </w:r>
    </w:p>
    <w:p>
      <w:pPr>
        <w:spacing w:line="60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公用经费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129.1万元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，主要包括：</w:t>
      </w:r>
    </w:p>
    <w:p>
      <w:pPr>
        <w:spacing w:line="60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zh-CN"/>
        </w:rPr>
        <w:t>“办公费”7.4万元、“印刷费”1.9万元、“手续费”0.1万元、“水费”3.0万元、“电费”7.4万元、“邮电费”4.5万元、“物业管理费”3.2万元、“差旅费”3.6万元、“维修(护)费”46.5万元、“租赁费”2.6万元、“培训费”0.9万元、“公务接待费”0.1万元、“专用材料费”3万元、“劳务费”0.2万元、“委托业务费”8.7万元、“工会经费”9.9万元、“福利费”19.2万元、“公务用车运行维护费”0.7万元、“其他交通费用”1万元、“其他商品和服务支出”1.3万元、“办公设备购置”3.7万元、“其他资本性支出”0.2万元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color w:val="auto"/>
          <w:sz w:val="30"/>
          <w:szCs w:val="24"/>
          <w:lang w:val="en-US"/>
        </w:rPr>
      </w:pPr>
      <w:r>
        <w:rPr>
          <w:rFonts w:hint="eastAsia" w:ascii="黑体" w:hAnsi="黑体" w:eastAsia="黑体"/>
          <w:color w:val="auto"/>
          <w:sz w:val="30"/>
          <w:szCs w:val="24"/>
          <w:lang w:val="en-US"/>
        </w:rPr>
        <w:t>七、关于一般公共预算“三公”经费支出情况表的说明</w:t>
      </w:r>
    </w:p>
    <w:p>
      <w:pPr>
        <w:spacing w:line="600" w:lineRule="exact"/>
        <w:ind w:firstLine="600"/>
        <w:jc w:val="both"/>
        <w:rPr>
          <w:rFonts w:hint="default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2024年一般公共预算“三公”经费安排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0.8万元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，与2023年预算相比减少0.1万元，主要原因是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本单位进一步缩减“三公”经费支出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。具体情况：</w:t>
      </w:r>
    </w:p>
    <w:p>
      <w:pPr>
        <w:spacing w:line="600" w:lineRule="exact"/>
        <w:ind w:firstLine="600"/>
        <w:jc w:val="both"/>
        <w:rPr>
          <w:rFonts w:hint="default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一、2024年因公出国（境）费预算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，与2023年预算相比持平，主要原因是本单位一般公共预算未安排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因公出国（境）费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”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经费。</w:t>
      </w:r>
    </w:p>
    <w:p>
      <w:pPr>
        <w:spacing w:line="600" w:lineRule="exact"/>
        <w:ind w:firstLine="600"/>
        <w:jc w:val="both"/>
        <w:rPr>
          <w:rFonts w:hint="default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二、2024年公务用车购置及运行费预算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0.7万元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，其中公务用车运行费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0.7万元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，与2023年预算相比减少0.1万元，主要原因是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本单位进一步缩减“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公务用车运行费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”支出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；公务用车购置费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，与2023年预算相比持平，主要原因是本单位一般公共预算未安排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公务用车购置费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”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经费。</w:t>
      </w:r>
    </w:p>
    <w:p>
      <w:pPr>
        <w:spacing w:line="600" w:lineRule="exact"/>
        <w:ind w:firstLine="600"/>
        <w:jc w:val="both"/>
        <w:rPr>
          <w:rFonts w:hint="default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三、2024年公务接待费预算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0.1万元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，与2023年预算相比持平，主要原因是与2023年保持一致，没有增减变化。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default" w:ascii="Calibri" w:hAnsi="Calibri" w:eastAsia="Calibri"/>
          <w:color w:val="auto"/>
          <w:kern w:val="2"/>
          <w:sz w:val="21"/>
          <w:szCs w:val="24"/>
          <w:lang w:val="zh-CN"/>
        </w:rPr>
      </w:pPr>
      <w:r>
        <w:rPr>
          <w:rFonts w:hint="eastAsia" w:ascii="黑体" w:hAnsi="黑体" w:eastAsia="黑体"/>
          <w:color w:val="auto"/>
          <w:sz w:val="30"/>
          <w:szCs w:val="24"/>
          <w:lang w:val="en-US"/>
        </w:rPr>
        <w:t>八、关于政府性基金预算支出情况表的说明</w:t>
      </w: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2024年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周恩来邓颖超纪念馆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预算中没有使用政府性基金预算安排的支出。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color w:val="auto"/>
          <w:sz w:val="30"/>
          <w:szCs w:val="24"/>
          <w:lang w:val="en-US"/>
        </w:rPr>
      </w:pPr>
      <w:r>
        <w:rPr>
          <w:rFonts w:hint="eastAsia" w:ascii="黑体" w:hAnsi="黑体" w:eastAsia="黑体"/>
          <w:color w:val="auto"/>
          <w:sz w:val="30"/>
          <w:szCs w:val="24"/>
          <w:lang w:val="en-US"/>
        </w:rPr>
        <w:t>九、关于国有资本经营预算支出情况表的说明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zh-CN"/>
        </w:rPr>
        <w:t>2024年周恩来邓颖超纪念馆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预算中没有使用国有资本经营预算安排的支出。</w:t>
      </w:r>
    </w:p>
    <w:p>
      <w:pPr>
        <w:pStyle w:val="3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color w:val="auto"/>
          <w:sz w:val="30"/>
          <w:szCs w:val="24"/>
          <w:lang w:val="en-US"/>
        </w:rPr>
      </w:pPr>
      <w:r>
        <w:rPr>
          <w:rFonts w:hint="eastAsia" w:ascii="黑体" w:hAnsi="黑体" w:eastAsia="黑体"/>
          <w:color w:val="auto"/>
          <w:sz w:val="30"/>
          <w:szCs w:val="24"/>
          <w:lang w:val="en-US"/>
        </w:rPr>
        <w:t>十、其他重要事项的情况说明</w:t>
      </w:r>
    </w:p>
    <w:p>
      <w:pPr>
        <w:spacing w:line="600" w:lineRule="exact"/>
        <w:ind w:left="480"/>
        <w:jc w:val="both"/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  <w:t xml:space="preserve"> （一）机关运行经费。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仿宋" w:hAnsi="仿宋" w:eastAsia="仿宋"/>
          <w:color w:val="auto"/>
          <w:kern w:val="2"/>
          <w:sz w:val="30"/>
          <w:szCs w:val="24"/>
          <w:lang w:val="zh-CN"/>
        </w:rPr>
        <w:t xml:space="preserve"> 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周恩来邓颖超纪念馆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2024年未安排机关运行经费预算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。</w:t>
      </w:r>
    </w:p>
    <w:p>
      <w:pPr>
        <w:spacing w:line="600" w:lineRule="exact"/>
        <w:ind w:firstLine="602"/>
        <w:jc w:val="both"/>
        <w:rPr>
          <w:rFonts w:hint="default" w:ascii="MS Serif" w:hAnsi="MS Serif" w:eastAsia="MS Serif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  <w:t>（二）</w:t>
      </w: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政府采购情况</w:t>
      </w:r>
      <w:r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  <w:t>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本单位2024年安排政府采购预算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646.6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万元，其中：政府采购货物支出7.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万元、政府采购工程支出0万元、政府采购服务支出639.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万元。主要项目是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物业管理服务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436.5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万元，社会化用工经费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137.7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万元，园林绿化管理服务65万元，购空调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4.5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万元，购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便携式计算机2.1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万元，购复印纸0.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万元。</w:t>
      </w:r>
    </w:p>
    <w:p>
      <w:pPr>
        <w:spacing w:line="600" w:lineRule="exact"/>
        <w:ind w:firstLine="602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（三）国有资产占用情况</w:t>
      </w:r>
      <w:r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  <w:t>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截至2023年7月底，本单位共有车辆2辆，其中：副部（省）级及以上领导用车0辆、主要负责人干部用车0辆、机要通信用车1辆、应急保障用车0辆、执法执勤用车0辆、特种专业技术用车0辆、离退休干部服务用车0辆、其他用车1辆，其他用车主要包括业务活动用车。单价（账面原值）100万元以上的设备</w:t>
      </w: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台（套）。</w:t>
      </w:r>
    </w:p>
    <w:p>
      <w:pPr>
        <w:spacing w:line="600" w:lineRule="exact"/>
        <w:ind w:firstLine="602"/>
        <w:jc w:val="both"/>
        <w:rPr>
          <w:rFonts w:hint="default" w:ascii="MS Serif" w:hAnsi="MS Serif" w:eastAsia="MS Serif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（四）预算绩效情况说明。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sz w:val="30"/>
          <w:szCs w:val="24"/>
          <w:lang w:val="en-US"/>
        </w:rPr>
        <w:t>本单位2024年实行绩效目标管理的项目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10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个，涉及预算金额</w:t>
      </w:r>
      <w:r>
        <w:rPr>
          <w:rFonts w:hint="eastAsia" w:ascii="Times New Roman" w:hAnsi="Times New Roman" w:eastAsia="仿宋_GB2312"/>
          <w:sz w:val="30"/>
          <w:szCs w:val="24"/>
          <w:lang w:val="zh-CN"/>
        </w:rPr>
        <w:t>1,190.5万元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。</w:t>
      </w: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zh-CN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/>
          <w:b/>
          <w:color w:val="auto"/>
          <w:kern w:val="2"/>
          <w:sz w:val="44"/>
          <w:szCs w:val="24"/>
          <w:lang w:val="en-US"/>
        </w:rPr>
      </w:pP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zh-CN"/>
        </w:rPr>
        <w:t>第三部分</w:t>
      </w:r>
      <w:r>
        <w:rPr>
          <w:rFonts w:hint="eastAsia" w:ascii="黑体" w:hAnsi="黑体" w:eastAsia="黑体"/>
          <w:b/>
          <w:color w:val="auto"/>
          <w:kern w:val="2"/>
          <w:sz w:val="44"/>
          <w:szCs w:val="24"/>
          <w:lang w:val="en-US"/>
        </w:rPr>
        <w:t xml:space="preserve">  </w:t>
      </w: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/>
        </w:rPr>
        <w:t>名词解释</w:t>
      </w:r>
    </w:p>
    <w:p>
      <w:pPr>
        <w:spacing w:line="600" w:lineRule="exact"/>
        <w:ind w:firstLine="600"/>
        <w:jc w:val="both"/>
        <w:rPr>
          <w:rFonts w:hint="eastAsia" w:ascii="仿宋_GB2312" w:hAnsi="仿宋_GB2312" w:eastAsia="仿宋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  <w:t>1.部门预算。是指主管预算部门依据相关法律、法规和政策规定及其行使职能需要，组织所属预算单位编制并逐级上报、审核、汇总，经财政部门审核后按程序依法批准的部门综合收支计划。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580" w:lineRule="exact"/>
        <w:ind w:firstLine="600"/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  <w:t>2.机关运行经费。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黑体" w:hAnsi="黑体" w:eastAsia="黑体"/>
          <w:b/>
          <w:color w:val="auto"/>
          <w:kern w:val="2"/>
          <w:sz w:val="4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黑体" w:hAnsi="黑体" w:eastAsia="黑体"/>
          <w:b/>
          <w:color w:val="auto"/>
          <w:kern w:val="2"/>
          <w:sz w:val="44"/>
          <w:szCs w:val="24"/>
          <w:lang w:val="en-US" w:eastAsia="zh-CN"/>
        </w:rPr>
      </w:pPr>
      <w:r>
        <w:rPr>
          <w:rFonts w:hint="eastAsia" w:ascii="黑体" w:hAnsi="黑体" w:eastAsia="黑体"/>
          <w:b/>
          <w:color w:val="auto"/>
          <w:kern w:val="2"/>
          <w:sz w:val="44"/>
          <w:szCs w:val="24"/>
          <w:lang w:val="en-US" w:eastAsia="zh-CN"/>
        </w:rPr>
        <w:br w:type="page"/>
      </w: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/>
        </w:rPr>
      </w:pP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 w:eastAsia="zh-CN"/>
        </w:rPr>
        <w:t>第四部分</w:t>
      </w: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/>
        </w:rPr>
        <w:t xml:space="preserve"> 2024年单位预算表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/>
        </w:rPr>
      </w:pP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一、《收支总体情况表》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二、《收入总体情况表》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三、《支出总体情况表》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四、《财政拨款收支总体情况表》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五、《一般公共预算支出情况表》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六、《一般公共预算基本支出情况表》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七、《一般公共预算“三公”经费支出情况表》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八、《政府性基金预算支出情况表》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九、《国有资本经营预算支出情况表》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十、《项目支出表》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十一、关于空表的说明</w:t>
      </w: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ab/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.</w:t>
      </w:r>
      <w:r>
        <w:rPr>
          <w:rFonts w:hint="eastAsia" w:ascii="楷体_GB2312" w:hAnsi="楷体_GB2312" w:eastAsia="楷体_GB2312"/>
          <w:sz w:val="30"/>
          <w:szCs w:val="24"/>
          <w:lang w:val="zh-CN"/>
        </w:rPr>
        <w:t>周恩来邓颖超纪念馆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2024</w:t>
      </w:r>
      <w:r>
        <w:rPr>
          <w:rFonts w:hint="eastAsia" w:ascii="楷体_GB2312" w:hAnsi="楷体_GB2312" w:eastAsia="楷体_GB2312"/>
          <w:sz w:val="30"/>
          <w:szCs w:val="24"/>
          <w:lang w:val="en-US"/>
        </w:rPr>
        <w:t>年政府性基金预算支出情况表为空表。</w:t>
      </w: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.</w:t>
      </w:r>
      <w:r>
        <w:rPr>
          <w:rFonts w:hint="eastAsia" w:ascii="楷体_GB2312" w:hAnsi="楷体_GB2312" w:eastAsia="楷体_GB2312"/>
          <w:sz w:val="30"/>
          <w:szCs w:val="24"/>
          <w:lang w:val="zh-CN"/>
        </w:rPr>
        <w:t>周恩来邓颖超纪念馆</w:t>
      </w:r>
      <w:r>
        <w:rPr>
          <w:rFonts w:hint="eastAsia" w:ascii="Times New Roman" w:hAnsi="Times New Roman" w:eastAsia="仿宋_GB2312"/>
          <w:sz w:val="30"/>
          <w:szCs w:val="24"/>
          <w:lang w:val="en-US"/>
        </w:rPr>
        <w:t>2024</w:t>
      </w:r>
      <w:r>
        <w:rPr>
          <w:rFonts w:hint="eastAsia" w:ascii="楷体_GB2312" w:hAnsi="楷体_GB2312" w:eastAsia="楷体_GB2312"/>
          <w:sz w:val="30"/>
          <w:szCs w:val="24"/>
          <w:lang w:val="en-US"/>
        </w:rPr>
        <w:t>年国有资本经营预算支出情况表为空表。</w:t>
      </w:r>
    </w:p>
    <w:sectPr>
      <w:footerReference r:id="rId5" w:type="default"/>
      <w:pgSz w:w="12240" w:h="15840"/>
      <w:pgMar w:top="1440" w:right="1800" w:bottom="1440" w:left="1800" w:header="720" w:footer="720" w:gutter="0"/>
      <w:lnNumType w:countBy="0" w:distance="36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erif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8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鏂囨湰妗?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鏂囨湰妗?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+hgFG6AQAAVAMAAA4AAABkcnMv&#10;ZTJvRG9jLnhtbK1TzWobMRC+F/oOQvdaa1OKWbw2CSGhUNpC2geQtZJXoD9Gsnd97Qv02EPvJcdc&#10;80Ap9C06kr1Om9xCLvJoZvzN932jXawGa8hOQtTeNXQ6qSiRTvhWu01Dv365fDOnJCbuWm68kw3d&#10;y0hXy9evFn2o5cx33rQSCIK4WPehoV1KoWYsik5aHic+SIdF5cHyhFfYsBZ4j+jWsFlVvWO9hzaA&#10;FzJGzF4cinRZ8JWSIn1SKspETEORWyonlHOdT7Zc8HoDPHRaHGnwZ7CwXDsceoK64ImTLegnUFYL&#10;8NGrNBHeMq+UFrJoQDXT6pGa644HWbSgOTGcbIovBys+7j4D0S3ujhLHLa7oz/dv9z9vft/d3v/6&#10;sXqbHepDrLHxOmBrGs790NAEWzmWIuaz9kGBzb+oimAL2r0/WSyHRAQmp/PZfF5hSWBtvOAI9vD3&#10;ADFdSW9JDhoKuMNiLd99iOnQOrbkac5famPKHo37L4GYOcMy/QPHHKVhPRw1rX27R0k9rr+hDt8n&#10;Jea9Q3fzSxkDGIP1GGwD6E2H1IoJeWQMZ9uEPAq9POSAfJyNqysCj88sv41/76Xr4WNY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qXm5zwAAAAUBAAAPAAAAAAAAAAEAIAAAADgAAABkcnMvZG93&#10;bnJldi54bWxQSwECFAAUAAAACACHTuJAX6GAUboBAABUAwAADgAAAAAAAAABACAAAAA0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9D5E8F"/>
    <w:rsid w:val="5DFB8983"/>
    <w:rsid w:val="75FF125E"/>
    <w:rsid w:val="7BDDB4DB"/>
    <w:rsid w:val="7F99A076"/>
    <w:rsid w:val="97FF6473"/>
    <w:rsid w:val="F56B0C51"/>
    <w:rsid w:val="F7539B8C"/>
    <w:rsid w:val="FDA7C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7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  <w:szCs w:val="24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both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2024-03-07T06:37:00Z</dcterms:created>
  <dc:creator>kylin</dc:creator>
  <cp:lastModifiedBy>kylin</cp:lastModifiedBy>
  <dcterms:modified xsi:type="dcterms:W3CDTF">2024-03-06T15:49:01Z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